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E4" w:rsidRPr="00205AE4" w:rsidRDefault="00205AE4" w:rsidP="00205AE4">
      <w:pPr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kern w:val="0"/>
          <w:sz w:val="36"/>
          <w:szCs w:val="36"/>
          <w14:ligatures w14:val="none"/>
        </w:rPr>
      </w:pPr>
      <w:bookmarkStart w:id="0" w:name="clan_1"/>
      <w:bookmarkEnd w:id="0"/>
      <w:r w:rsidRPr="00205AE4">
        <w:rPr>
          <w:rFonts w:ascii="Arial" w:eastAsia="Times New Roman" w:hAnsi="Arial" w:cs="Arial"/>
          <w:b/>
          <w:bCs/>
          <w:kern w:val="0"/>
          <w:sz w:val="36"/>
          <w:szCs w:val="36"/>
          <w14:ligatures w14:val="none"/>
        </w:rPr>
        <w:t>ОДЛУКА</w:t>
      </w:r>
    </w:p>
    <w:p w:rsidR="00205AE4" w:rsidRPr="00205AE4" w:rsidRDefault="00205AE4" w:rsidP="00205AE4">
      <w:pPr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kern w:val="0"/>
          <w:sz w:val="34"/>
          <w:szCs w:val="34"/>
          <w14:ligatures w14:val="none"/>
        </w:rPr>
      </w:pPr>
      <w:r w:rsidRPr="00205AE4">
        <w:rPr>
          <w:rFonts w:ascii="Arial" w:eastAsia="Times New Roman" w:hAnsi="Arial" w:cs="Arial"/>
          <w:b/>
          <w:bCs/>
          <w:kern w:val="0"/>
          <w:sz w:val="34"/>
          <w:szCs w:val="34"/>
          <w14:ligatures w14:val="none"/>
        </w:rPr>
        <w:t xml:space="preserve">О УТВРЂИВАЊУ ПРИХОДА КОЈИ ПРИПАДАЈУ </w:t>
      </w:r>
      <w:bookmarkStart w:id="1" w:name="_GoBack"/>
      <w:bookmarkEnd w:id="1"/>
      <w:r w:rsidRPr="00205AE4">
        <w:rPr>
          <w:rFonts w:ascii="Arial" w:eastAsia="Times New Roman" w:hAnsi="Arial" w:cs="Arial"/>
          <w:b/>
          <w:bCs/>
          <w:kern w:val="0"/>
          <w:sz w:val="34"/>
          <w:szCs w:val="34"/>
          <w14:ligatures w14:val="none"/>
        </w:rPr>
        <w:t>ГРАДУ, ОДНОСНО ГРАДСКИМ ОПШТИНАМА И РАСПОРЕДУ ТРАНСФЕРНИХ СРЕДСТАВА ИЗ БУЏЕТА ГРАДА НИША ГРАДСКИМ ОПШТИНАМА У 2025. ГОДИНИ</w:t>
      </w:r>
    </w:p>
    <w:p w:rsidR="00205AE4" w:rsidRPr="00205AE4" w:rsidRDefault="00205AE4" w:rsidP="00205AE4">
      <w:pPr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26"/>
          <w:szCs w:val="26"/>
          <w14:ligatures w14:val="none"/>
        </w:rPr>
      </w:pPr>
      <w:r w:rsidRPr="00205AE4">
        <w:rPr>
          <w:rFonts w:ascii="Arial" w:eastAsia="Times New Roman" w:hAnsi="Arial" w:cs="Arial"/>
          <w:i/>
          <w:iCs/>
          <w:kern w:val="0"/>
          <w:sz w:val="26"/>
          <w:szCs w:val="26"/>
          <w14:ligatures w14:val="none"/>
        </w:rPr>
        <w:t>("Сл. лист града Ниша", бр. 144/2024)</w:t>
      </w:r>
    </w:p>
    <w:p w:rsidR="001379BB" w:rsidRPr="001379BB" w:rsidRDefault="001379BB" w:rsidP="00205AE4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1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Овом одлуком утврђује се расподела јавних прихода између буџета Града Ниша и буџета градских општина, као и обим трансферних средстава из буџета Града Ниша градским општинама у 2025.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.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2" w:name="clan_2"/>
      <w:bookmarkEnd w:id="2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2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Граду Нишу, као јединици локалне самоуправе, за финансирање надлежности, припадају јавни приходи и примања, и то: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1)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порези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у делу предвиђеном законом: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(1)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порез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на доходак грађана;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(2)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порез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на имовину;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(3)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порез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на наслеђе и поклон;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(4)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порез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на пренос апсолутних права;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(5)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други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порез, у складу са посебним законом;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2)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таксе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: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(1)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локалне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административне таксе;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(2)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локалне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комуналне такса за истицање фирме на пословном простору;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(3)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локална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комунална такса за држање моторних друмских и прикључних возила, осим пољопривредних возила и машина;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(4)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допринос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за уређивање грађевинског земљишта;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(5)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боравишна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такса;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3)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накнада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за коришћење природног лековитог фактора и остале накнаде у складу са законом;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lastRenderedPageBreak/>
        <w:t xml:space="preserve">4)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самодопринос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5)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донације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и трансфери;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5а) финансијска помоћ Европске уније;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6)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настали употребом јавних средстава: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(1)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камата;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(2)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давања у закуп, односно на коришћење непокретности и покретних ствари у својини Републике Србије, које користи јединица локалне самоуправе, односно органи, организације и службе јединице локалне самоуправе и индиректни корисници њеног буџета;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(3)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давања у закуп, односно на коришћење непокретности и покретних ствари у својини јединице локалне самоуправе, у складу са законом;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(4)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настали продајом услуга корисника средстава буџета јединице локалне самоуправе чије је пружање уговорено са физичким и правним лицима на основу њихове слободне воље;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(5)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новчаних казни изречених у прекршајном поступку за прекршаје прописане актом скупштине јединице локалне самоуправе и одузета имовинска корист у том поступку;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(6)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концесионе накнаде у складу са законом.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7)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: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(1)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продаје непокретности у својини јединице локалне самоуправе;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(2)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продаје покретних ствари у својини Републике Србије које користе органи, организације и службе јединице локалне самоуправе;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(3)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продаје покретних ствари у својини јединице локалне самоуправе које користе органи, организације и службе јединице локалне самоуправе;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(4)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продаје робних резерви;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(4а) примања од продаје драгоцености;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(4б) примања од продаје природне имовине;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(5)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задуживања;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ind w:left="1134" w:hanging="142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(6)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примања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 продаје финансијске имовине.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3" w:name="clan_3"/>
      <w:bookmarkEnd w:id="3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lastRenderedPageBreak/>
        <w:t xml:space="preserve">Члан 3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Приходи и примања из члана 2.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одлуке распоређују се у буџету Града Ниша, осим дела прихода који се у целини уступају буџетима градских општина и прихода који се деле између буџета Града Ниша и буџета градских општина.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4" w:name="clan_4"/>
      <w:bookmarkEnd w:id="4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4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Буџетима градских општина у целини припадају приходи који се остваре на територији општине, и то: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1. Комунална такса за коришћење рекламних паноа, укључујући и истицање и исписивање фирме ван пословног простора на објектима који припадају јединици локалне самоуправе (коловози, тротоари, зелене површине, бандере и сл.);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2. 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3. Комунална такса за коришћење слободних површина за кампове, постављање шатора или друге облике привременог коришћења;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4. Комунална такса за заузеће јавне површине грађевинским материјалом;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5. Комунална такса за држање средстава за игру ("забавне игре");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6. Приходи буџета општине од камата на средства консолидованог рачуна трезора укључена у депозит банака;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7. Приходи од камата на средства корисника буџета општине укључена у депозите код пословних банака код којих овлашћени општински орган потписује уговор о депоновању средстава по виђењу;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8. Накнада за коришћење минералних сировина и геотермалних ресурса;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9. Накнада за коришћење простора на јавној површини у пословне и друге сврхе, осим ради продаје штампе, књига и других публикација, производа старих и уметничких заната и домаће радиности;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10. Накнада за коришћење јавне површине за оглашавање за сопствене потребе и за потребе других лица, као и за коришћење површине и објекта за оглашавање за сопствене потребе и за потребе других лица којим се врши непосредни утицај на расположивост, квалитет или неку другу особину јавне површине, за које дозволу издаје надлежни орган јединице локалне самоуправе;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11. Накнада за коришћење јавне површине по основу заузећа грађевинским материјалом и за извођење грађевинских радова и изградњу;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lastRenderedPageBreak/>
        <w:t xml:space="preserve">12. Приходи од новчаних казни изречених у прекршајном поступку за прекршаје прописане актом Скупштине општине, као и одузета имовинска корист;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 xml:space="preserve">13. Самодопринос на територији месне заједнице и општине.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5" w:name="clan_5"/>
      <w:bookmarkEnd w:id="5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5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r w:rsidRPr="001379BB">
        <w:rPr>
          <w:rFonts w:ascii="Arial" w:eastAsia="Times New Roman" w:hAnsi="Arial" w:cs="Arial"/>
          <w:kern w:val="0"/>
          <w14:ligatures w14:val="none"/>
        </w:rPr>
        <w:t>Приходи од пореза на зараде, пореза на имовину и пореза на друге приходе који се остваре на територији Града Ниша деле се између буџета Града и буџета градских општина тако да буџету Града припада 95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,5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% прихода од пореза на доходак грађана - на зараде, 92,5% прихода од пореза на имовину и 97% прихода од пореза на друге приходе, док се градским општинама уступа део ових прихода у ниже наведеним процентима, и то: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3"/>
        <w:gridCol w:w="2384"/>
        <w:gridCol w:w="1722"/>
        <w:gridCol w:w="1817"/>
        <w:gridCol w:w="2574"/>
      </w:tblGrid>
      <w:tr w:rsidR="001379BB" w:rsidRPr="001379BB" w:rsidTr="001379BB">
        <w:trPr>
          <w:tblCellSpacing w:w="0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Ред. бр. 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Градска општина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Порез на зараде 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Порез на имовину 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Порез на друге приходе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Пантелеј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0,60%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Црвени Крст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0,60%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Палилула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0,60%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Медијана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0,60%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Нишка Бања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0,60%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Укупно: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4,50%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7,50%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3,00% </w:t>
            </w:r>
          </w:p>
        </w:tc>
      </w:tr>
    </w:tbl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6" w:name="clan_6"/>
      <w:bookmarkEnd w:id="6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6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Трансферна средства утврђена Одлуком о буџету Града Ниша за 2025.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годину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у износу од 225.000.000 динара расподељују се градским општинама у следећим износима: </w:t>
      </w:r>
    </w:p>
    <w:tbl>
      <w:tblPr>
        <w:tblW w:w="5000" w:type="pct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9"/>
        <w:gridCol w:w="5722"/>
        <w:gridCol w:w="3459"/>
      </w:tblGrid>
      <w:tr w:rsidR="001379BB" w:rsidRPr="001379BB" w:rsidTr="001379BB">
        <w:trPr>
          <w:tblCellSpacing w:w="0" w:type="dxa"/>
        </w:trPr>
        <w:tc>
          <w:tcPr>
            <w:tcW w:w="100" w:type="pct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1. </w:t>
            </w:r>
          </w:p>
        </w:tc>
        <w:tc>
          <w:tcPr>
            <w:tcW w:w="3050" w:type="pct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Градска општина Пантелеј </w:t>
            </w:r>
          </w:p>
        </w:tc>
        <w:tc>
          <w:tcPr>
            <w:tcW w:w="1850" w:type="pct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55.000.000 динара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2.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Градска општина Црвени Крст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44.000.000 динара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3.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Градска општина Палилула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51.000.000 динара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4.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Градска општина Медијана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31.000.000 динара </w:t>
            </w:r>
          </w:p>
        </w:tc>
      </w:tr>
      <w:tr w:rsidR="001379BB" w:rsidRPr="001379BB" w:rsidTr="001379BB">
        <w:trPr>
          <w:tblCellSpacing w:w="0" w:type="dxa"/>
        </w:trPr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5.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Градска општина Нишка Бања </w:t>
            </w:r>
          </w:p>
        </w:tc>
        <w:tc>
          <w:tcPr>
            <w:tcW w:w="0" w:type="auto"/>
            <w:hideMark/>
          </w:tcPr>
          <w:p w:rsidR="001379BB" w:rsidRPr="001379BB" w:rsidRDefault="001379BB" w:rsidP="001379B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379BB">
              <w:rPr>
                <w:rFonts w:ascii="Arial" w:eastAsia="Times New Roman" w:hAnsi="Arial" w:cs="Arial"/>
                <w:kern w:val="0"/>
                <w14:ligatures w14:val="none"/>
              </w:rPr>
              <w:t xml:space="preserve">44.000.000 динара </w:t>
            </w:r>
          </w:p>
        </w:tc>
      </w:tr>
    </w:tbl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7" w:name="clan_7"/>
      <w:bookmarkEnd w:id="7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7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Трансферна средства из члана 6.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одлуке ће се преносити градским општинама месечно у висини једне дванаестине износа на рачун прописан за уплату текућих трансфера од других нивоа власти.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Градоначелник Града Ниша одлучује о основаности захтева градске општине да јој се трансферна средства из чл.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6.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одлуке пренесу пре рока дефинисаног ставом 1.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овог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члана и решењем дефинише рок у којем ће трансферна средства бити пренета градској општини уколико процени да је захтев градске општине оправдан.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8" w:name="clan_8"/>
      <w:bookmarkEnd w:id="8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8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lastRenderedPageBreak/>
        <w:t>Градским општинама, осим трансферних средстава дефинисаних у члану 6.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одлуке, Градоначелник може на основу предлога Градског већа одобрити и средства за реализацију посебних програмских активности и пројеката.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У случају да се, на име предфинансирања пројектних активности, из буџета Града Ниша обезбеде и пренесу додатна средства градској општини за реализацију пројекта у чијем финансирању учествује инострани партнер иста је у обавези да одобрена и пренета средства врати у буџет Града Ниша најкасније 7 (седам) дана након уплате из иностраног извора.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9" w:name="clan_9"/>
      <w:bookmarkEnd w:id="9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9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Градске општине планираће у 2025.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укупна средства потребна за исплату плата запослених које се финансирају из њихових буџета, у складу са важећим одредбама Закона о буџету Републике Србије за 2025.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годину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, Закона о буџетском систему и Упутством министра финансија за израду буџета локалне власти за 2025.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годину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.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Градске општине у 2025.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години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не могу засновати са лицем радни однос на неодређено и одређено време, нити ангажовати лице ван радног односа, без претходне сагласности Градоначелника.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Уколико средства за плате запослених у градским општинама не буду планирана и исплаћивана на начин утврђен у ставу 1.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овог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члана, као и уколико градске општине заснују са лицем радни однос на неодређено и одређено време или ангажовању лице ван радног односа супротно ставу 2.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овог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члана, Градоначелник ће донети решење о привременој обустави преноса трансферних средстава из буџета Града Ниша.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Градоначелник ће председника градске општине обавестити о привременој обустави преноса трансферних средстава и разлозима који су довели до обуставе преноса средстава.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Привремена обустава преноса трансферних средстава трајаће до отклањања разлога који су довели до обуставе преноса средстава.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0" w:name="clan_10"/>
      <w:bookmarkEnd w:id="10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10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Уколико се у току године пренесу нове надлежности градским општинама обим додатних средстава обезбедиће се у складу са Законом о буџетском систему.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:rsidR="001379BB" w:rsidRPr="001379BB" w:rsidRDefault="001379BB" w:rsidP="001379BB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1" w:name="clan_11"/>
      <w:bookmarkEnd w:id="11"/>
      <w:r w:rsidRPr="001379BB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Члан 11 </w:t>
      </w:r>
    </w:p>
    <w:p w:rsidR="001379BB" w:rsidRPr="001379BB" w:rsidRDefault="001379BB" w:rsidP="001379BB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14:ligatures w14:val="none"/>
        </w:rPr>
      </w:pP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Одлука ступа на снагу осмог дана од дана објављивања у Службеном листу Града Ниша, а примењује се од 01.01.2025.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 xml:space="preserve"> </w:t>
      </w:r>
      <w:proofErr w:type="gramStart"/>
      <w:r w:rsidRPr="001379BB">
        <w:rPr>
          <w:rFonts w:ascii="Arial" w:eastAsia="Times New Roman" w:hAnsi="Arial" w:cs="Arial"/>
          <w:kern w:val="0"/>
          <w14:ligatures w14:val="none"/>
        </w:rPr>
        <w:t>године</w:t>
      </w:r>
      <w:proofErr w:type="gramEnd"/>
      <w:r w:rsidRPr="001379BB">
        <w:rPr>
          <w:rFonts w:ascii="Arial" w:eastAsia="Times New Roman" w:hAnsi="Arial" w:cs="Arial"/>
          <w:kern w:val="0"/>
          <w14:ligatures w14:val="none"/>
        </w:rPr>
        <w:t>.</w:t>
      </w:r>
    </w:p>
    <w:p w:rsidR="00D8173C" w:rsidRDefault="00D8173C"/>
    <w:sectPr w:rsidR="00D81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BB"/>
    <w:rsid w:val="001379BB"/>
    <w:rsid w:val="00205AE4"/>
    <w:rsid w:val="005F3B39"/>
    <w:rsid w:val="00D8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1379BB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kern w:val="0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1379BB"/>
    <w:rPr>
      <w:rFonts w:ascii="Times New Roman" w:eastAsia="Times New Roman" w:hAnsi="Times New Roman" w:cs="Times New Roman"/>
      <w:b/>
      <w:bCs/>
      <w:kern w:val="0"/>
      <w:sz w:val="15"/>
      <w:szCs w:val="15"/>
    </w:rPr>
  </w:style>
  <w:style w:type="paragraph" w:customStyle="1" w:styleId="clan">
    <w:name w:val="clan"/>
    <w:basedOn w:val="Normal"/>
    <w:rsid w:val="001379BB"/>
    <w:pPr>
      <w:spacing w:before="240" w:after="120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</w:rPr>
  </w:style>
  <w:style w:type="paragraph" w:customStyle="1" w:styleId="Normal1">
    <w:name w:val="Normal1"/>
    <w:basedOn w:val="Normal"/>
    <w:rsid w:val="001379BB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</w:rPr>
  </w:style>
  <w:style w:type="paragraph" w:customStyle="1" w:styleId="normaltd">
    <w:name w:val="normaltd"/>
    <w:basedOn w:val="Normal"/>
    <w:rsid w:val="001379B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</w:rPr>
  </w:style>
  <w:style w:type="paragraph" w:customStyle="1" w:styleId="normaluvuceni">
    <w:name w:val="normal_uvuceni"/>
    <w:basedOn w:val="Normal"/>
    <w:rsid w:val="001379BB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  <w:kern w:val="0"/>
    </w:rPr>
  </w:style>
  <w:style w:type="paragraph" w:customStyle="1" w:styleId="podnaslovpropisa">
    <w:name w:val="podnaslovpropisa"/>
    <w:basedOn w:val="Normal"/>
    <w:rsid w:val="001379BB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kern w:val="0"/>
      <w:sz w:val="26"/>
      <w:szCs w:val="26"/>
    </w:rPr>
  </w:style>
  <w:style w:type="paragraph" w:customStyle="1" w:styleId="normalbold">
    <w:name w:val="normalbold"/>
    <w:basedOn w:val="Normal"/>
    <w:rsid w:val="001379B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1379BB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kern w:val="0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1379BB"/>
    <w:rPr>
      <w:rFonts w:ascii="Times New Roman" w:eastAsia="Times New Roman" w:hAnsi="Times New Roman" w:cs="Times New Roman"/>
      <w:b/>
      <w:bCs/>
      <w:kern w:val="0"/>
      <w:sz w:val="15"/>
      <w:szCs w:val="15"/>
    </w:rPr>
  </w:style>
  <w:style w:type="paragraph" w:customStyle="1" w:styleId="clan">
    <w:name w:val="clan"/>
    <w:basedOn w:val="Normal"/>
    <w:rsid w:val="001379BB"/>
    <w:pPr>
      <w:spacing w:before="240" w:after="120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</w:rPr>
  </w:style>
  <w:style w:type="paragraph" w:customStyle="1" w:styleId="Normal1">
    <w:name w:val="Normal1"/>
    <w:basedOn w:val="Normal"/>
    <w:rsid w:val="001379BB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</w:rPr>
  </w:style>
  <w:style w:type="paragraph" w:customStyle="1" w:styleId="normaltd">
    <w:name w:val="normaltd"/>
    <w:basedOn w:val="Normal"/>
    <w:rsid w:val="001379B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</w:rPr>
  </w:style>
  <w:style w:type="paragraph" w:customStyle="1" w:styleId="normaluvuceni">
    <w:name w:val="normal_uvuceni"/>
    <w:basedOn w:val="Normal"/>
    <w:rsid w:val="001379BB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  <w:kern w:val="0"/>
    </w:rPr>
  </w:style>
  <w:style w:type="paragraph" w:customStyle="1" w:styleId="podnaslovpropisa">
    <w:name w:val="podnaslovpropisa"/>
    <w:basedOn w:val="Normal"/>
    <w:rsid w:val="001379BB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kern w:val="0"/>
      <w:sz w:val="26"/>
      <w:szCs w:val="26"/>
    </w:rPr>
  </w:style>
  <w:style w:type="paragraph" w:customStyle="1" w:styleId="normalbold">
    <w:name w:val="normalbold"/>
    <w:basedOn w:val="Normal"/>
    <w:rsid w:val="001379B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Milenović</dc:creator>
  <cp:lastModifiedBy>Oliver Milenović</cp:lastModifiedBy>
  <cp:revision>2</cp:revision>
  <dcterms:created xsi:type="dcterms:W3CDTF">2025-09-19T12:57:00Z</dcterms:created>
  <dcterms:modified xsi:type="dcterms:W3CDTF">2025-09-20T12:37:00Z</dcterms:modified>
</cp:coreProperties>
</file>